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5715"/>
        </w:tabs>
        <w:spacing w:after="200" w:before="0" w:line="276" w:lineRule="auto"/>
        <w:ind w:left="0" w:right="0" w:firstLine="0"/>
        <w:jc w:val="left"/>
        <w:rPr>
          <w:rFonts w:ascii="Arial" w:cs="Arial" w:eastAsia="Arial" w:hAnsi="Arial"/>
          <w:b w:val="1"/>
          <w:i w:val="1"/>
          <w:color w:val="000000"/>
          <w:sz w:val="24"/>
          <w:szCs w:val="24"/>
        </w:rPr>
      </w:pPr>
      <w:bookmarkStart w:colFirst="0" w:colLast="0" w:name="_heading=h.gjdgxs" w:id="0"/>
      <w:bookmarkEnd w:id="0"/>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Schedule 6 (Transparency Reports)</w:t>
      </w:r>
      <w:r w:rsidDel="00000000" w:rsidR="00000000" w:rsidRPr="00000000">
        <w:rPr>
          <w:rtl w:val="0"/>
        </w:rPr>
      </w:r>
    </w:p>
    <w:p w:rsidR="00000000" w:rsidDel="00000000" w:rsidP="00000000" w:rsidRDefault="00000000" w:rsidRPr="00000000" w14:paraId="0000000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recognises that the Buyer is subject to PPN 01/17 (Updates to transparency principles v1.1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https://www.gov.uk/government/publications/procurement-policy-note-0117-update-to-transparency-principles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Supplier's reporting requirements set out in the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accurate and up-to-date versions of each Transparency Report to the Buyer at the frequency referred to in the Annex of this Schedule.</w:t>
      </w:r>
    </w:p>
    <w:p w:rsidR="00000000" w:rsidDel="00000000" w:rsidP="00000000" w:rsidRDefault="00000000" w:rsidRPr="00000000" w14:paraId="00000006">
      <w:pPr>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7">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List of Transparency Reports</w:t>
      </w:r>
    </w:p>
    <w:tbl>
      <w:tblPr>
        <w:tblStyle w:val="Table1"/>
        <w:tblW w:w="87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880"/>
        <w:gridCol w:w="1515"/>
        <w:gridCol w:w="2190"/>
        <w:gridCol w:w="2190"/>
        <w:tblGridChange w:id="0">
          <w:tblGrid>
            <w:gridCol w:w="2880"/>
            <w:gridCol w:w="1515"/>
            <w:gridCol w:w="2190"/>
            <w:gridCol w:w="2190"/>
          </w:tblGrid>
        </w:tblGridChange>
      </w:tblGrid>
      <w:tr>
        <w:trPr>
          <w:cantSplit w:val="0"/>
          <w:trHeight w:val="123" w:hRule="atLeast"/>
          <w:tblHeader w:val="0"/>
        </w:trPr>
        <w:tc>
          <w:tcPr>
            <w:tcBorders>
              <w:top w:color="000000" w:space="0" w:sz="4" w:val="single"/>
              <w:left w:color="000000" w:space="0" w:sz="4" w:val="single"/>
              <w:right w:color="000000" w:space="0" w:sz="4" w:val="single"/>
            </w:tcBorders>
          </w:tcPr>
          <w:p w:rsidR="00000000" w:rsidDel="00000000" w:rsidP="00000000" w:rsidRDefault="00000000" w:rsidRPr="00000000" w14:paraId="00000008">
            <w:pP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right w:color="000000" w:space="0" w:sz="4" w:val="single"/>
            </w:tcBorders>
          </w:tcPr>
          <w:p w:rsidR="00000000" w:rsidDel="00000000" w:rsidP="00000000" w:rsidRDefault="00000000" w:rsidRPr="00000000" w14:paraId="00000009">
            <w:pP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right w:color="000000" w:space="0" w:sz="4" w:val="single"/>
            </w:tcBorders>
          </w:tcPr>
          <w:p w:rsidR="00000000" w:rsidDel="00000000" w:rsidP="00000000" w:rsidRDefault="00000000" w:rsidRPr="00000000" w14:paraId="0000000A">
            <w:pP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right w:color="000000" w:space="0" w:sz="4" w:val="single"/>
            </w:tcBorders>
          </w:tcPr>
          <w:p w:rsidR="00000000" w:rsidDel="00000000" w:rsidP="00000000" w:rsidRDefault="00000000" w:rsidRPr="00000000" w14:paraId="0000000B">
            <w:pP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cantSplit w:val="0"/>
          <w:trHeight w:val="214" w:hRule="atLeast"/>
          <w:tblHeader w:val="0"/>
        </w:trPr>
        <w:tc>
          <w:tcPr>
            <w:tcBorders>
              <w:top w:color="000000" w:space="0" w:sz="5" w:val="single"/>
              <w:left w:color="000000" w:space="0" w:sz="5" w:val="single"/>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0C">
            <w:pPr>
              <w:tabs>
                <w:tab w:val="left" w:leader="none" w:pos="3380"/>
              </w:tabs>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Performance</w:t>
            </w:r>
          </w:p>
        </w:tc>
        <w:tc>
          <w:tcPr>
            <w:tcBorders>
              <w:top w:color="000000" w:space="0" w:sz="5" w:val="single"/>
              <w:left w:color="000000" w:space="0" w:sz="0" w:val="nil"/>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0D">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Conformance with KPI’s and SLA’s</w:t>
            </w:r>
          </w:p>
          <w:p w:rsidR="00000000" w:rsidDel="00000000" w:rsidP="00000000" w:rsidRDefault="00000000" w:rsidRPr="00000000" w14:paraId="0000000E">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5" w:val="single"/>
              <w:left w:color="000000" w:space="0" w:sz="0" w:val="nil"/>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0F">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10">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Report</w:t>
            </w:r>
          </w:p>
        </w:tc>
        <w:tc>
          <w:tcPr>
            <w:tcBorders>
              <w:top w:color="000000" w:space="0" w:sz="5" w:val="single"/>
              <w:left w:color="000000" w:space="0" w:sz="5" w:val="single"/>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11">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12">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Quarterly</w:t>
            </w:r>
          </w:p>
        </w:tc>
      </w:tr>
      <w:tr>
        <w:trPr>
          <w:cantSplit w:val="0"/>
          <w:trHeight w:val="155" w:hRule="atLeast"/>
          <w:tblHeader w:val="0"/>
        </w:trPr>
        <w:tc>
          <w:tcPr>
            <w:tcBorders>
              <w:top w:color="000000" w:space="0" w:sz="0" w:val="nil"/>
              <w:left w:color="000000" w:space="0" w:sz="5" w:val="single"/>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13">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Contract Charges</w:t>
            </w:r>
          </w:p>
        </w:tc>
        <w:tc>
          <w:tcPr>
            <w:tcBorders>
              <w:top w:color="000000" w:space="0" w:sz="0" w:val="nil"/>
              <w:left w:color="000000" w:space="0" w:sz="0" w:val="nil"/>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14">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Full report of charges per month, any variations to contract</w:t>
            </w:r>
          </w:p>
          <w:p w:rsidR="00000000" w:rsidDel="00000000" w:rsidP="00000000" w:rsidRDefault="00000000" w:rsidRPr="00000000" w14:paraId="00000015">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0" w:val="nil"/>
              <w:left w:color="000000" w:space="0" w:sz="0" w:val="nil"/>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16">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17">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Report</w:t>
            </w:r>
          </w:p>
        </w:tc>
        <w:tc>
          <w:tcPr>
            <w:tcBorders>
              <w:top w:color="000000" w:space="0" w:sz="0" w:val="nil"/>
              <w:left w:color="000000" w:space="0" w:sz="5" w:val="single"/>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18">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19">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Monthly</w:t>
            </w:r>
          </w:p>
        </w:tc>
      </w:tr>
      <w:tr>
        <w:trPr>
          <w:cantSplit w:val="0"/>
          <w:trHeight w:val="155" w:hRule="atLeast"/>
          <w:tblHeader w:val="0"/>
        </w:trPr>
        <w:tc>
          <w:tcPr>
            <w:tcBorders>
              <w:top w:color="000000" w:space="0" w:sz="0" w:val="nil"/>
              <w:left w:color="000000" w:space="0" w:sz="5" w:val="single"/>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1A">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tc>
        <w:tc>
          <w:tcPr>
            <w:tcBorders>
              <w:top w:color="000000" w:space="0" w:sz="0" w:val="nil"/>
              <w:left w:color="000000" w:space="0" w:sz="0" w:val="nil"/>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1B">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Update on the use of any key contractors and their performance in delivering the contractual terms</w:t>
            </w:r>
          </w:p>
        </w:tc>
        <w:tc>
          <w:tcPr>
            <w:tcBorders>
              <w:top w:color="000000" w:space="0" w:sz="0" w:val="nil"/>
              <w:left w:color="000000" w:space="0" w:sz="0" w:val="nil"/>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1C">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1D">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Report</w:t>
            </w:r>
          </w:p>
        </w:tc>
        <w:tc>
          <w:tcPr>
            <w:tcBorders>
              <w:top w:color="000000" w:space="0" w:sz="0" w:val="nil"/>
              <w:left w:color="000000" w:space="0" w:sz="5" w:val="single"/>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1E">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1F">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Quarterly</w:t>
            </w:r>
          </w:p>
        </w:tc>
      </w:tr>
      <w:tr>
        <w:trPr>
          <w:cantSplit w:val="0"/>
          <w:trHeight w:val="155" w:hRule="atLeast"/>
          <w:tblHeader w:val="0"/>
        </w:trPr>
        <w:tc>
          <w:tcPr>
            <w:tcBorders>
              <w:top w:color="000000" w:space="0" w:sz="0" w:val="nil"/>
              <w:left w:color="000000" w:space="0" w:sz="5" w:val="single"/>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20">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Data</w:t>
            </w:r>
          </w:p>
        </w:tc>
        <w:tc>
          <w:tcPr>
            <w:tcBorders>
              <w:top w:color="000000" w:space="0" w:sz="0" w:val="nil"/>
              <w:left w:color="000000" w:space="0" w:sz="0" w:val="nil"/>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21">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Summary of any data issues and resolution, any data breaches and proposed changes in data management</w:t>
            </w:r>
          </w:p>
          <w:p w:rsidR="00000000" w:rsidDel="00000000" w:rsidP="00000000" w:rsidRDefault="00000000" w:rsidRPr="00000000" w14:paraId="00000022">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0" w:val="nil"/>
              <w:left w:color="000000" w:space="0" w:sz="0" w:val="nil"/>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23">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24">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Report</w:t>
            </w:r>
          </w:p>
        </w:tc>
        <w:tc>
          <w:tcPr>
            <w:tcBorders>
              <w:top w:color="000000" w:space="0" w:sz="0" w:val="nil"/>
              <w:left w:color="000000" w:space="0" w:sz="5" w:val="single"/>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25">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26">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Quarterly</w:t>
            </w:r>
          </w:p>
        </w:tc>
      </w:tr>
      <w:tr>
        <w:trPr>
          <w:cantSplit w:val="0"/>
          <w:trHeight w:val="214" w:hRule="atLeast"/>
          <w:tblHeader w:val="0"/>
        </w:trPr>
        <w:tc>
          <w:tcPr>
            <w:tcBorders>
              <w:top w:color="000000" w:space="0" w:sz="0" w:val="nil"/>
              <w:left w:color="000000" w:space="0" w:sz="5" w:val="single"/>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27">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Performance management</w:t>
            </w:r>
          </w:p>
        </w:tc>
        <w:tc>
          <w:tcPr>
            <w:tcBorders>
              <w:top w:color="000000" w:space="0" w:sz="0" w:val="nil"/>
              <w:left w:color="000000" w:space="0" w:sz="0" w:val="nil"/>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28">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Summary of reports above plus discussion of what’s working well, not so well and other areas that need discussion.</w:t>
            </w:r>
          </w:p>
          <w:p w:rsidR="00000000" w:rsidDel="00000000" w:rsidP="00000000" w:rsidRDefault="00000000" w:rsidRPr="00000000" w14:paraId="00000029">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0" w:val="nil"/>
              <w:left w:color="000000" w:space="0" w:sz="0" w:val="nil"/>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2A">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2B">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Meeting and Report</w:t>
            </w:r>
          </w:p>
        </w:tc>
        <w:tc>
          <w:tcPr>
            <w:tcBorders>
              <w:top w:color="000000" w:space="0" w:sz="0" w:val="nil"/>
              <w:left w:color="000000" w:space="0" w:sz="5" w:val="single"/>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2C">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2D">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Quarterly</w:t>
            </w:r>
          </w:p>
        </w:tc>
      </w:tr>
    </w:tbl>
    <w:p w:rsidR="00000000" w:rsidDel="00000000" w:rsidP="00000000" w:rsidRDefault="00000000" w:rsidRPr="00000000" w14:paraId="0000002E">
      <w:pPr>
        <w:tabs>
          <w:tab w:val="left" w:leader="none" w:pos="1251"/>
        </w:tabs>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F">
      <w:pPr>
        <w:tabs>
          <w:tab w:val="left" w:leader="none" w:pos="1251"/>
        </w:tabs>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0">
      <w:pPr>
        <w:tabs>
          <w:tab w:val="left" w:leader="none" w:pos="1251"/>
        </w:tabs>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1">
      <w:pPr>
        <w:tabs>
          <w:tab w:val="left" w:leader="none" w:pos="1251"/>
        </w:tabs>
        <w:rPr>
          <w:rFonts w:ascii="Arial" w:cs="Arial" w:eastAsia="Arial" w:hAnsi="Arial"/>
          <w:sz w:val="24"/>
          <w:szCs w:val="24"/>
        </w:rPr>
      </w:pP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3B">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D">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E">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3F">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Mid-Tier Contract – Version 1.1</w:t>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1">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[Subject to Contract]</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Schedule 6 (Transparency Reports)</w:t>
    </w: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2022</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2"/>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rsid w:val="00457A39"/>
    <w:pPr>
      <w:numPr>
        <w:ilvl w:val="1"/>
        <w:numId w:val="1"/>
      </w:numPr>
      <w:adjustRightInd w:val="0"/>
      <w:spacing w:after="120" w:before="120" w:line="240" w:lineRule="auto"/>
    </w:pPr>
    <w:rPr>
      <w:rFonts w:ascii="Arial" w:cs="Arial" w:eastAsia="Times New Roman" w:hAnsi="Arial"/>
      <w:sz w:val="24"/>
      <w:lang w:eastAsia="zh-CN"/>
    </w:rPr>
  </w:style>
  <w:style w:type="character" w:styleId="GPSL2NumberedChar" w:customStyle="1">
    <w:name w:val="GPS L2 Numbered Char"/>
    <w:link w:val="GPSL2Numbered"/>
    <w:locked w:val="1"/>
    <w:rsid w:val="00457A39"/>
    <w:rPr>
      <w:rFonts w:ascii="Arial" w:cs="Arial" w:eastAsia="Times New Roman" w:hAnsi="Arial"/>
      <w:sz w:val="24"/>
      <w:lang w:eastAsia="zh-CN"/>
    </w:rPr>
  </w:style>
  <w:style w:type="paragraph" w:styleId="Revision">
    <w:name w:val="Revision"/>
    <w:hidden w:val="1"/>
    <w:uiPriority w:val="99"/>
    <w:semiHidden w:val="1"/>
    <w:rsid w:val="00F42B75"/>
    <w:pPr>
      <w:spacing w:after="0" w:line="240" w:lineRule="auto"/>
    </w:pPr>
  </w:style>
  <w:style w:type="paragraph" w:styleId="GPSL1CLAUSEHEADING" w:customStyle="1">
    <w:name w:val="GPS L1 CLAUSE HEADING"/>
    <w:basedOn w:val="Normal"/>
    <w:rsid w:val="00457A39"/>
    <w:pPr>
      <w:numPr>
        <w:numId w:val="1"/>
      </w:numPr>
    </w:pPr>
  </w:style>
  <w:style w:type="paragraph" w:styleId="GPSL3numberedclause" w:customStyle="1">
    <w:name w:val="GPS L3 numbered clause"/>
    <w:basedOn w:val="Normal"/>
    <w:rsid w:val="00457A39"/>
    <w:pPr>
      <w:numPr>
        <w:ilvl w:val="2"/>
        <w:numId w:val="1"/>
      </w:numPr>
    </w:pPr>
  </w:style>
  <w:style w:type="paragraph" w:styleId="GPSL4numberedclause" w:customStyle="1">
    <w:name w:val="GPS L4 numbered clause"/>
    <w:basedOn w:val="Normal"/>
    <w:rsid w:val="00457A39"/>
    <w:pPr>
      <w:numPr>
        <w:ilvl w:val="3"/>
        <w:numId w:val="1"/>
      </w:numPr>
    </w:pPr>
  </w:style>
  <w:style w:type="paragraph" w:styleId="GPSL5numberedclause" w:customStyle="1">
    <w:name w:val="GPS L5 numbered clause"/>
    <w:basedOn w:val="Normal"/>
    <w:rsid w:val="00457A39"/>
    <w:pPr>
      <w:numPr>
        <w:ilvl w:val="4"/>
        <w:numId w:val="1"/>
      </w:numPr>
    </w:pPr>
  </w:style>
  <w:style w:type="paragraph" w:styleId="GPSL6numbered" w:customStyle="1">
    <w:name w:val="GPS L6 numbered"/>
    <w:basedOn w:val="Normal"/>
    <w:rsid w:val="00457A39"/>
    <w:pPr>
      <w:numPr>
        <w:ilvl w:val="5"/>
        <w:numId w:val="1"/>
      </w:numPr>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ImhWZCEdXw2rerErWn9/YAj6fww==">CgMxLjAyCGguZ2pkZ3hzOAByITFJb2w0eVRpS0o4R1VjN1F0T1BXX0pJRmpfUW0zMDNvOA==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2023-06-19T13:01:00Z</dcterms:created>
</cp:coreProperties>
</file>